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2E" w:rsidRDefault="000B5CAD" w:rsidP="000B5CA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B8DCD7">
            <wp:extent cx="160337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CAD" w:rsidRPr="000B5CAD" w:rsidRDefault="000B5CAD" w:rsidP="000B5CA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B5CAD">
        <w:rPr>
          <w:rFonts w:ascii="Comic Sans MS" w:hAnsi="Comic Sans MS"/>
          <w:b/>
          <w:sz w:val="24"/>
          <w:szCs w:val="24"/>
          <w:u w:val="single"/>
        </w:rPr>
        <w:t xml:space="preserve">SOUTH MOLTON UNITED CHURCH OF ENGLAND PRIMARY SCHOOL </w:t>
      </w:r>
    </w:p>
    <w:p w:rsidR="000B5CAD" w:rsidRDefault="000B5CAD" w:rsidP="000B5CA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B5CAD">
        <w:rPr>
          <w:rFonts w:ascii="Comic Sans MS" w:hAnsi="Comic Sans MS"/>
          <w:b/>
          <w:sz w:val="24"/>
          <w:szCs w:val="24"/>
          <w:u w:val="single"/>
        </w:rPr>
        <w:t>PUPIL PREMIUM ACTION PLAN</w:t>
      </w:r>
      <w:r>
        <w:rPr>
          <w:rFonts w:ascii="Comic Sans MS" w:hAnsi="Comic Sans MS"/>
          <w:b/>
          <w:sz w:val="24"/>
          <w:szCs w:val="24"/>
          <w:u w:val="single"/>
        </w:rPr>
        <w:t xml:space="preserve"> 2020-21</w:t>
      </w:r>
    </w:p>
    <w:p w:rsidR="000B5CAD" w:rsidRDefault="000B5CAD" w:rsidP="000B5CAD">
      <w:pPr>
        <w:jc w:val="center"/>
        <w:rPr>
          <w:rFonts w:ascii="Comic Sans MS" w:hAnsi="Comic Sans MS"/>
          <w:sz w:val="24"/>
          <w:szCs w:val="24"/>
        </w:rPr>
      </w:pPr>
      <w:r w:rsidRPr="000B5CAD">
        <w:rPr>
          <w:rFonts w:ascii="Comic Sans MS" w:hAnsi="Comic Sans MS"/>
          <w:sz w:val="24"/>
          <w:szCs w:val="24"/>
        </w:rPr>
        <w:t>This document sets out how the school intends to use its Pupil Premium Funding for the coming academic year. Please note that a number of actions are in response to the return to school after the Covid-19 school closures</w:t>
      </w:r>
      <w:r>
        <w:rPr>
          <w:rFonts w:ascii="Comic Sans MS" w:hAnsi="Comic Sans MS"/>
          <w:sz w:val="24"/>
          <w:szCs w:val="24"/>
        </w:rPr>
        <w:t xml:space="preserve"> and funding will be used to support those children most affected by these closures</w:t>
      </w:r>
      <w:r w:rsidRPr="000B5CA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There are also at the time of writing some restrictions on how schools operate, for example </w:t>
      </w:r>
      <w:proofErr w:type="spellStart"/>
      <w:r>
        <w:rPr>
          <w:rFonts w:ascii="Comic Sans MS" w:hAnsi="Comic Sans MS"/>
          <w:sz w:val="24"/>
          <w:szCs w:val="24"/>
        </w:rPr>
        <w:t>extra curricular</w:t>
      </w:r>
      <w:proofErr w:type="spellEnd"/>
      <w:r>
        <w:rPr>
          <w:rFonts w:ascii="Comic Sans MS" w:hAnsi="Comic Sans MS"/>
          <w:sz w:val="24"/>
          <w:szCs w:val="24"/>
        </w:rPr>
        <w:t xml:space="preserve"> clubs and trips which may limit the extent to which we can carry out planned actions, depending on the period of time the restrictions last and any changes to these. </w:t>
      </w:r>
    </w:p>
    <w:p w:rsidR="000B5CAD" w:rsidRDefault="000B5CAD" w:rsidP="000B5CAD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0B5CAD" w:rsidTr="001D517A">
        <w:tc>
          <w:tcPr>
            <w:tcW w:w="13948" w:type="dxa"/>
            <w:gridSpan w:val="2"/>
          </w:tcPr>
          <w:p w:rsidR="000B5CAD" w:rsidRDefault="000B5CAD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SOUTH MOLTON UNITED C of E PRIMARY SCHOOL PUPIL PREMIUM PROFILE</w:t>
            </w:r>
          </w:p>
        </w:tc>
      </w:tr>
      <w:tr w:rsidR="000B5CAD" w:rsidTr="000B5CAD">
        <w:tc>
          <w:tcPr>
            <w:tcW w:w="4531" w:type="dxa"/>
          </w:tcPr>
          <w:p w:rsidR="000B5CAD" w:rsidRDefault="000B5CAD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number of pupils in the school</w:t>
            </w:r>
          </w:p>
        </w:tc>
        <w:tc>
          <w:tcPr>
            <w:tcW w:w="9417" w:type="dxa"/>
          </w:tcPr>
          <w:p w:rsidR="000B5CAD" w:rsidRDefault="00370210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208</w:t>
            </w:r>
          </w:p>
        </w:tc>
      </w:tr>
      <w:tr w:rsidR="000B5CAD" w:rsidTr="000B5CAD">
        <w:tc>
          <w:tcPr>
            <w:tcW w:w="4531" w:type="dxa"/>
          </w:tcPr>
          <w:p w:rsidR="000B5CAD" w:rsidRDefault="000B5CAD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number of PP eligible pupils</w:t>
            </w:r>
          </w:p>
        </w:tc>
        <w:tc>
          <w:tcPr>
            <w:tcW w:w="9417" w:type="dxa"/>
          </w:tcPr>
          <w:p w:rsidR="000B5CAD" w:rsidRDefault="00B14CB6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</w:tr>
      <w:tr w:rsidR="000B5CAD" w:rsidTr="000B5CAD">
        <w:tc>
          <w:tcPr>
            <w:tcW w:w="4531" w:type="dxa"/>
          </w:tcPr>
          <w:p w:rsidR="000B5CAD" w:rsidRDefault="000B5CAD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Amount per pupil</w:t>
            </w:r>
          </w:p>
        </w:tc>
        <w:tc>
          <w:tcPr>
            <w:tcW w:w="9417" w:type="dxa"/>
          </w:tcPr>
          <w:p w:rsidR="000B5CAD" w:rsidRDefault="00B14CB6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£1345</w:t>
            </w:r>
          </w:p>
        </w:tc>
      </w:tr>
      <w:tr w:rsidR="000B5CAD" w:rsidTr="000B5CAD">
        <w:tc>
          <w:tcPr>
            <w:tcW w:w="4531" w:type="dxa"/>
          </w:tcPr>
          <w:p w:rsidR="000B5CAD" w:rsidRDefault="000B5CAD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PP Funding</w:t>
            </w:r>
          </w:p>
        </w:tc>
        <w:tc>
          <w:tcPr>
            <w:tcW w:w="9417" w:type="dxa"/>
          </w:tcPr>
          <w:p w:rsidR="000B5CAD" w:rsidRDefault="00B14CB6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£73,335</w:t>
            </w:r>
          </w:p>
        </w:tc>
      </w:tr>
      <w:tr w:rsidR="000B5CAD" w:rsidTr="000B5CAD">
        <w:tc>
          <w:tcPr>
            <w:tcW w:w="4531" w:type="dxa"/>
          </w:tcPr>
          <w:p w:rsidR="000B5CAD" w:rsidRDefault="000B5CAD" w:rsidP="000B5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Contextual Factors</w:t>
            </w:r>
          </w:p>
        </w:tc>
        <w:tc>
          <w:tcPr>
            <w:tcW w:w="9417" w:type="dxa"/>
          </w:tcPr>
          <w:p w:rsidR="000B5CAD" w:rsidRDefault="00EF04F4" w:rsidP="00EF04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Mobility – there is significant mobility within the school, with many families joining the school outside of normal transition points. This is especially true of children in receipt of PP funding. </w:t>
            </w:r>
          </w:p>
          <w:p w:rsidR="00EF04F4" w:rsidRDefault="00EF04F4" w:rsidP="00EF04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Parental mental health and well-being and rural isolation</w:t>
            </w:r>
          </w:p>
          <w:p w:rsidR="00EF04F4" w:rsidRDefault="00EF04F4" w:rsidP="00EF04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Deprivation and lack of access to opportunity and other services</w:t>
            </w:r>
          </w:p>
          <w:p w:rsidR="00EF04F4" w:rsidRPr="00166E8D" w:rsidRDefault="00EF04F4" w:rsidP="00166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Complex needs and SEN alongside PP</w:t>
            </w:r>
          </w:p>
        </w:tc>
      </w:tr>
    </w:tbl>
    <w:p w:rsidR="000B5CAD" w:rsidRDefault="000B5CAD" w:rsidP="000B5CAD">
      <w:pPr>
        <w:jc w:val="center"/>
        <w:rPr>
          <w:rFonts w:ascii="Comic Sans MS" w:hAnsi="Comic Sans MS"/>
          <w:sz w:val="24"/>
          <w:szCs w:val="24"/>
        </w:rPr>
      </w:pPr>
    </w:p>
    <w:p w:rsidR="000B5CAD" w:rsidRDefault="000B5CAD" w:rsidP="000B5CAD">
      <w:pPr>
        <w:jc w:val="center"/>
        <w:rPr>
          <w:rFonts w:ascii="Comic Sans MS" w:hAnsi="Comic Sans MS"/>
          <w:sz w:val="24"/>
          <w:szCs w:val="24"/>
        </w:rPr>
      </w:pPr>
    </w:p>
    <w:p w:rsidR="000B5CAD" w:rsidRDefault="000B5CAD" w:rsidP="000B5CAD">
      <w:pPr>
        <w:jc w:val="center"/>
        <w:rPr>
          <w:rFonts w:ascii="Comic Sans MS" w:hAnsi="Comic Sans MS"/>
          <w:sz w:val="24"/>
          <w:szCs w:val="24"/>
        </w:rPr>
      </w:pPr>
    </w:p>
    <w:p w:rsidR="000B5CAD" w:rsidRDefault="000B5CAD" w:rsidP="000B5CAD">
      <w:pPr>
        <w:jc w:val="center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horzAnchor="margin" w:tblpXSpec="center" w:tblpY="-360"/>
        <w:tblW w:w="148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9967"/>
      </w:tblGrid>
      <w:tr w:rsidR="000C1D86" w:rsidTr="00286A04">
        <w:trPr>
          <w:trHeight w:hRule="exact" w:val="5966"/>
        </w:trPr>
        <w:tc>
          <w:tcPr>
            <w:tcW w:w="4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D86" w:rsidRDefault="000C1D86" w:rsidP="00286A04">
            <w:pPr>
              <w:spacing w:before="57"/>
              <w:ind w:left="160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Key</w:t>
            </w:r>
            <w:r>
              <w:rPr>
                <w:rFonts w:ascii="Arial" w:eastAsia="Arial" w:hAnsi="Arial" w:cs="Arial"/>
                <w:b/>
                <w:color w:val="0D0D0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statements</w:t>
            </w:r>
            <w:r>
              <w:rPr>
                <w:rFonts w:ascii="Arial" w:eastAsia="Arial" w:hAnsi="Arial" w:cs="Arial"/>
                <w:b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b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Ofsted</w:t>
            </w:r>
            <w:r>
              <w:rPr>
                <w:rFonts w:ascii="Arial" w:eastAsia="Arial" w:hAnsi="Arial" w:cs="Arial"/>
                <w:b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report(s) relating to the performance of disadvan</w:t>
            </w:r>
            <w:r>
              <w:rPr>
                <w:rFonts w:ascii="Arial" w:eastAsia="Arial" w:hAnsi="Arial" w:cs="Arial"/>
                <w:b/>
                <w:color w:val="0D0D0D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aged</w:t>
            </w:r>
            <w:r>
              <w:rPr>
                <w:rFonts w:ascii="Arial" w:eastAsia="Arial" w:hAnsi="Arial" w:cs="Arial"/>
                <w:b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pupils:</w:t>
            </w:r>
          </w:p>
        </w:tc>
        <w:tc>
          <w:tcPr>
            <w:tcW w:w="9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Ofsted Inspection March 2018</w:t>
            </w: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judged “Good” in all areas and “Good” Overall.</w:t>
            </w: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“Gaps between those pupils who are disadvantaged and others are diminishing.”</w:t>
            </w: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“The use of pupil premium funding is carefully monitored by governors.”</w:t>
            </w: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“The school’s work to promote pupil’s personal development and welfare is good. Pupils gain in self-confidence and are protected from harm. Those new to the school are well supported, so they flourish and blossom.”</w:t>
            </w: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“Teaching is good. Staff have consistently good subject knowledge.”</w:t>
            </w: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CONTEXT: </w:t>
            </w: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Mobility has been very significant over the last 2 years. Of the 44 children (in year 1 and above) who were eligible for PP at the end of the academic year 2019-20, 24 (55%) had joined within the last two years outside a normal transition point. </w:t>
            </w:r>
          </w:p>
          <w:p w:rsidR="0005364D" w:rsidRDefault="0005364D" w:rsidP="00286A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on entry attainment profile of this group is typically below ARE and in around 25% of cases significantly so. There are also a large proportion of the group where other factors create further barriers to success. </w:t>
            </w:r>
          </w:p>
          <w:p w:rsidR="000C1D86" w:rsidRPr="00586FCD" w:rsidRDefault="000C1D86" w:rsidP="00286A04">
            <w:pPr>
              <w:pStyle w:val="Default"/>
              <w:rPr>
                <w:sz w:val="20"/>
                <w:szCs w:val="20"/>
              </w:rPr>
            </w:pPr>
          </w:p>
          <w:p w:rsidR="000C1D86" w:rsidRDefault="000C1D86" w:rsidP="00286A04">
            <w:pPr>
              <w:pStyle w:val="Default"/>
              <w:rPr>
                <w:sz w:val="22"/>
                <w:szCs w:val="22"/>
              </w:rPr>
            </w:pPr>
          </w:p>
          <w:p w:rsidR="000C1D86" w:rsidRDefault="000C1D86" w:rsidP="00286A04"/>
        </w:tc>
      </w:tr>
    </w:tbl>
    <w:p w:rsidR="000B5CAD" w:rsidRDefault="000B5CAD" w:rsidP="000B5CAD">
      <w:pPr>
        <w:jc w:val="center"/>
        <w:rPr>
          <w:rFonts w:ascii="Comic Sans MS" w:hAnsi="Comic Sans MS"/>
          <w:sz w:val="24"/>
          <w:szCs w:val="24"/>
        </w:rPr>
      </w:pPr>
    </w:p>
    <w:p w:rsidR="00286A04" w:rsidRDefault="00286A04" w:rsidP="00166E8D">
      <w:pPr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horzAnchor="margin" w:tblpXSpec="right" w:tblpY="-1034"/>
        <w:tblW w:w="15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12333"/>
      </w:tblGrid>
      <w:tr w:rsidR="00286A04" w:rsidRPr="00286A04" w:rsidTr="00580B3C">
        <w:trPr>
          <w:trHeight w:hRule="exact" w:val="10644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A04" w:rsidRPr="00286A04" w:rsidRDefault="00286A04" w:rsidP="00286A04">
            <w:pPr>
              <w:spacing w:before="57" w:after="200" w:line="276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  <w:r w:rsidRPr="00286A04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lastRenderedPageBreak/>
              <w:t>Summa</w:t>
            </w:r>
            <w:r w:rsidRPr="00286A04">
              <w:rPr>
                <w:rFonts w:ascii="Arial" w:eastAsia="Arial" w:hAnsi="Arial" w:cs="Arial"/>
                <w:b/>
                <w:color w:val="0D0D0D"/>
                <w:spacing w:val="1"/>
                <w:sz w:val="24"/>
                <w:szCs w:val="24"/>
              </w:rPr>
              <w:t>r</w:t>
            </w:r>
            <w:r w:rsidRPr="00286A04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y</w:t>
            </w:r>
            <w:r w:rsidRPr="00286A04">
              <w:rPr>
                <w:rFonts w:ascii="Arial" w:eastAsia="Arial" w:hAnsi="Arial" w:cs="Arial"/>
                <w:b/>
                <w:color w:val="0D0D0D"/>
                <w:spacing w:val="-2"/>
                <w:sz w:val="24"/>
                <w:szCs w:val="24"/>
              </w:rPr>
              <w:t xml:space="preserve"> </w:t>
            </w:r>
            <w:r w:rsidRPr="00286A04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of</w:t>
            </w:r>
            <w:r w:rsidRPr="00286A04">
              <w:rPr>
                <w:rFonts w:ascii="Arial" w:eastAsia="Arial" w:hAnsi="Arial" w:cs="Arial"/>
                <w:b/>
                <w:color w:val="0D0D0D"/>
                <w:spacing w:val="1"/>
                <w:sz w:val="24"/>
                <w:szCs w:val="24"/>
              </w:rPr>
              <w:t xml:space="preserve"> </w:t>
            </w:r>
            <w:r w:rsidRPr="00286A04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school’s</w:t>
            </w:r>
            <w:r w:rsidRPr="00286A04">
              <w:rPr>
                <w:rFonts w:ascii="Arial" w:eastAsia="Arial" w:hAnsi="Arial" w:cs="Arial"/>
                <w:b/>
                <w:color w:val="0D0D0D"/>
                <w:spacing w:val="1"/>
                <w:sz w:val="24"/>
                <w:szCs w:val="24"/>
              </w:rPr>
              <w:t xml:space="preserve"> </w:t>
            </w:r>
            <w:r w:rsidRPr="00286A04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performance</w:t>
            </w:r>
            <w:r w:rsidRPr="00286A04">
              <w:rPr>
                <w:rFonts w:ascii="Arial" w:eastAsia="Arial" w:hAnsi="Arial" w:cs="Arial"/>
                <w:b/>
                <w:color w:val="0D0D0D"/>
                <w:spacing w:val="1"/>
                <w:sz w:val="24"/>
                <w:szCs w:val="24"/>
              </w:rPr>
              <w:t xml:space="preserve"> </w:t>
            </w:r>
            <w:r w:rsidRPr="00286A04"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data:</w:t>
            </w:r>
          </w:p>
          <w:p w:rsidR="00286A04" w:rsidRPr="00286A04" w:rsidRDefault="00286A04" w:rsidP="00286A04">
            <w:pPr>
              <w:spacing w:before="57" w:after="200" w:line="276" w:lineRule="auto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286A04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Please note the impact of </w:t>
            </w:r>
            <w:proofErr w:type="spellStart"/>
            <w:r w:rsidRPr="00286A04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Covid</w:t>
            </w:r>
            <w:proofErr w:type="spellEnd"/>
            <w:r w:rsidRPr="00286A04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 xml:space="preserve"> – 19 Lockdown Measures. No published </w:t>
            </w:r>
            <w:r w:rsidRPr="00286A04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data for 2020 assessments, however, review does utilise internal school data to March 2020 to support evaluation of the impact of actions. </w:t>
            </w:r>
          </w:p>
          <w:p w:rsidR="00286A04" w:rsidRPr="00286A04" w:rsidRDefault="00286A04" w:rsidP="00286A04">
            <w:pPr>
              <w:spacing w:before="57" w:after="200" w:line="276" w:lineRule="auto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286A04"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 xml:space="preserve">School Performance data shows that over time, attainment gaps are closing within school and against national as a result of the impact of pupil premium spending to close gaps and improve outcomes for children entitled to pupil premium. However, there is a significant impact of mobility on the profile of the PP cohort across the school. </w:t>
            </w:r>
          </w:p>
          <w:p w:rsidR="00286A04" w:rsidRPr="00286A04" w:rsidRDefault="00286A04" w:rsidP="00286A04">
            <w:pPr>
              <w:spacing w:before="1" w:after="200" w:line="260" w:lineRule="exact"/>
              <w:ind w:left="102" w:right="6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A04" w:rsidRPr="00286A04" w:rsidRDefault="00286A04" w:rsidP="00286A04">
            <w:pPr>
              <w:spacing w:before="1" w:after="0" w:line="260" w:lineRule="exact"/>
              <w:ind w:left="822" w:right="663"/>
              <w:contextualSpacing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286A04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Internal 2020 School Data relating to Pupil Premium Outcomes, using practice test outcomes and teacher assessment. KS2 Outcomes (11 pupils)</w:t>
            </w:r>
          </w:p>
          <w:p w:rsidR="00286A04" w:rsidRPr="00286A04" w:rsidRDefault="00286A04" w:rsidP="00286A04">
            <w:pPr>
              <w:spacing w:before="1" w:after="0" w:line="260" w:lineRule="exact"/>
              <w:ind w:left="822" w:right="663"/>
              <w:contextualSpacing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tbl>
            <w:tblPr>
              <w:tblStyle w:val="TableGrid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126"/>
              <w:gridCol w:w="1870"/>
              <w:gridCol w:w="1957"/>
              <w:gridCol w:w="1843"/>
            </w:tblGrid>
            <w:tr w:rsidR="00286A04" w:rsidRPr="00286A04" w:rsidTr="00580B3C">
              <w:tc>
                <w:tcPr>
                  <w:tcW w:w="1413" w:type="dxa"/>
                </w:tcPr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Predicted Attainment based on 2018 KS2 SATs completed early March 2020</w:t>
                  </w:r>
                </w:p>
              </w:tc>
              <w:tc>
                <w:tcPr>
                  <w:tcW w:w="2126" w:type="dxa"/>
                </w:tcPr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READING</w:t>
                  </w:r>
                </w:p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20% GDS, PP 18%</w:t>
                  </w:r>
                </w:p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70% EXS+ PP 64%</w:t>
                  </w:r>
                </w:p>
              </w:tc>
              <w:tc>
                <w:tcPr>
                  <w:tcW w:w="1870" w:type="dxa"/>
                </w:tcPr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WRITING</w:t>
                  </w:r>
                </w:p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17% GDS, PP 18%</w:t>
                  </w:r>
                </w:p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75% EXS+, PP 73%</w:t>
                  </w:r>
                </w:p>
              </w:tc>
              <w:tc>
                <w:tcPr>
                  <w:tcW w:w="1957" w:type="dxa"/>
                </w:tcPr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MATHS</w:t>
                  </w:r>
                </w:p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21% GDS, PP 18%</w:t>
                  </w:r>
                </w:p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75% EXS+ PP 73%</w:t>
                  </w:r>
                </w:p>
              </w:tc>
              <w:tc>
                <w:tcPr>
                  <w:tcW w:w="1843" w:type="dxa"/>
                </w:tcPr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SPAG</w:t>
                  </w:r>
                </w:p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17% GDS, PP 18%</w:t>
                  </w:r>
                </w:p>
                <w:p w:rsidR="00286A04" w:rsidRPr="00286A04" w:rsidRDefault="00286A04" w:rsidP="00703D6F">
                  <w:pPr>
                    <w:framePr w:hSpace="180" w:wrap="around" w:vAnchor="text" w:hAnchor="margin" w:xAlign="right" w:y="-1034"/>
                    <w:spacing w:after="200" w:line="276" w:lineRule="auto"/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</w:pPr>
                  <w:r w:rsidRPr="00286A04">
                    <w:rPr>
                      <w:rFonts w:ascii="Comic Sans MS" w:eastAsia="Calibri" w:hAnsi="Comic Sans MS" w:cs="Times New Roman"/>
                      <w:sz w:val="18"/>
                      <w:szCs w:val="18"/>
                    </w:rPr>
                    <w:t>71% EXS+, PP 64%</w:t>
                  </w:r>
                </w:p>
              </w:tc>
            </w:tr>
          </w:tbl>
          <w:p w:rsidR="00286A04" w:rsidRPr="00286A04" w:rsidRDefault="00286A04" w:rsidP="00286A04">
            <w:pPr>
              <w:spacing w:before="1" w:after="200" w:line="260" w:lineRule="exact"/>
              <w:ind w:right="663"/>
              <w:rPr>
                <w:rFonts w:ascii="Arial" w:eastAsia="Arial" w:hAnsi="Arial" w:cs="Arial"/>
              </w:rPr>
            </w:pPr>
            <w:r w:rsidRPr="00286A04">
              <w:rPr>
                <w:rFonts w:ascii="Arial" w:eastAsia="Arial" w:hAnsi="Arial" w:cs="Arial"/>
              </w:rPr>
              <w:t xml:space="preserve">This shows that a significant improvement in outcomes at KS2 in each subject for PP children. 54% were on track to achieve at least EXS+ in R+W+M (+24% on 2019), 64% securely on track to achieve at least EXS+ in reading (+16% on 2019), 73% securely on track to achieve at least EXS+ in writing (+16% on 2019), 73% securely on track to achieve EXS+ in maths (+21% on 2019) and 64% securely on track to achieve EXS+ in SPAG (up 20% on 2019). </w:t>
            </w:r>
          </w:p>
          <w:p w:rsidR="00286A04" w:rsidRPr="00286A04" w:rsidRDefault="00286A04" w:rsidP="00286A04">
            <w:pPr>
              <w:spacing w:before="1" w:after="0" w:line="260" w:lineRule="exact"/>
              <w:ind w:left="822" w:right="663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At Greater Depth, there was also a significant improvement in outcomes with 18% of children securely on track to achieve GDS in each of Reading, Writing, </w:t>
            </w:r>
            <w:proofErr w:type="spellStart"/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>Maths</w:t>
            </w:r>
            <w:proofErr w:type="spellEnd"/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SPAG – a significant improvement on the previous two years.</w:t>
            </w:r>
          </w:p>
          <w:p w:rsidR="00286A04" w:rsidRPr="00286A04" w:rsidRDefault="00286A04" w:rsidP="00286A04">
            <w:pPr>
              <w:spacing w:before="1" w:after="0" w:line="260" w:lineRule="exact"/>
              <w:ind w:left="822" w:right="663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In terms of progress from KS1 to KS2, there was strong progress across. 27% of the group achieve EXS+ in R+W+M at KS1 vs the predicted 54% outcome in KS2. In reading all PP children were securely on track to make good progress from their KS1 outcome and secure at least the same outcome. 27% of children were well on track to move into at least the next band. In writing, all pupils were securely on track to make at least expected progress and 54% were on track to make better than expected and move into the next band. At KS1, just 36% of the group achieve EXS+ and by end of KS2, 73% of the group were securely on track to achieve EXS+. In </w:t>
            </w:r>
            <w:proofErr w:type="spellStart"/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>maths</w:t>
            </w:r>
            <w:proofErr w:type="spellEnd"/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all children bar one were on track to at least match their KS1 outcome and 27% were on track to move into the next band. </w:t>
            </w:r>
          </w:p>
          <w:p w:rsidR="00286A04" w:rsidRPr="00286A04" w:rsidRDefault="00286A04" w:rsidP="00286A04">
            <w:pPr>
              <w:spacing w:before="1" w:after="0" w:line="260" w:lineRule="exact"/>
              <w:ind w:left="822" w:right="663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At KS1 (9 pupils) 55% of pupils were securely on track to achieve EXS+ in R+W+M, which would be a 12% improvement on 2019. 55% were on track to achieve EXS+ in each of reading, writing and </w:t>
            </w:r>
            <w:proofErr w:type="spellStart"/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>maths</w:t>
            </w:r>
            <w:proofErr w:type="spellEnd"/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with GDS figures being 22%, 11% and 33% respectively. </w:t>
            </w:r>
          </w:p>
          <w:p w:rsidR="00286A04" w:rsidRPr="00286A04" w:rsidRDefault="00286A04" w:rsidP="00286A04">
            <w:pPr>
              <w:spacing w:before="1" w:after="0" w:line="260" w:lineRule="exact"/>
              <w:ind w:left="822" w:right="663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Year 1 Phonics was likely to show a small improvement for the PP group with 70% of PP children being on track to pass at end of February 2020 (+6% on 2019). </w:t>
            </w:r>
          </w:p>
          <w:p w:rsidR="00286A04" w:rsidRPr="00286A04" w:rsidRDefault="00286A04" w:rsidP="00286A04">
            <w:pPr>
              <w:spacing w:before="1" w:after="0" w:line="260" w:lineRule="exact"/>
              <w:ind w:left="822" w:right="663"/>
              <w:contextualSpacing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286A0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EYFS data was on track to show a very significant improvement for the PP group with anticipated outcomes likely to have been around 60% achieving GLD. (+20% on 2019)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2136"/>
        <w:gridCol w:w="2214"/>
        <w:gridCol w:w="2137"/>
        <w:gridCol w:w="2092"/>
        <w:gridCol w:w="1488"/>
        <w:gridCol w:w="1978"/>
      </w:tblGrid>
      <w:tr w:rsidR="00DE041F" w:rsidTr="00286A04">
        <w:tc>
          <w:tcPr>
            <w:tcW w:w="1903" w:type="dxa"/>
            <w:shd w:val="clear" w:color="auto" w:fill="0070C0"/>
          </w:tcPr>
          <w:p w:rsidR="00286A04" w:rsidRPr="00286A04" w:rsidRDefault="00286A04" w:rsidP="00286A0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6A0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FOCUS</w:t>
            </w:r>
          </w:p>
        </w:tc>
        <w:tc>
          <w:tcPr>
            <w:tcW w:w="2136" w:type="dxa"/>
            <w:shd w:val="clear" w:color="auto" w:fill="0070C0"/>
          </w:tcPr>
          <w:p w:rsidR="00286A04" w:rsidRPr="00286A04" w:rsidRDefault="00286A04" w:rsidP="00286A0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6A04">
              <w:rPr>
                <w:rFonts w:ascii="Comic Sans MS" w:hAnsi="Comic Sans MS"/>
                <w:b/>
                <w:sz w:val="20"/>
                <w:szCs w:val="20"/>
              </w:rPr>
              <w:t>BARRIERS TO LEARNING</w:t>
            </w:r>
          </w:p>
        </w:tc>
        <w:tc>
          <w:tcPr>
            <w:tcW w:w="2214" w:type="dxa"/>
            <w:shd w:val="clear" w:color="auto" w:fill="0070C0"/>
          </w:tcPr>
          <w:p w:rsidR="00286A04" w:rsidRPr="00286A04" w:rsidRDefault="00286A04" w:rsidP="00286A0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6A04">
              <w:rPr>
                <w:rFonts w:ascii="Comic Sans MS" w:hAnsi="Comic Sans MS"/>
                <w:b/>
                <w:sz w:val="20"/>
                <w:szCs w:val="20"/>
              </w:rPr>
              <w:t>PUPIL PREMIUM USE AND AMOUNT ALLOCATED</w:t>
            </w:r>
          </w:p>
        </w:tc>
        <w:tc>
          <w:tcPr>
            <w:tcW w:w="2137" w:type="dxa"/>
            <w:shd w:val="clear" w:color="auto" w:fill="0070C0"/>
          </w:tcPr>
          <w:p w:rsidR="00286A04" w:rsidRPr="00286A04" w:rsidRDefault="00286A04" w:rsidP="00286A0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6A04">
              <w:rPr>
                <w:rFonts w:ascii="Comic Sans MS" w:hAnsi="Comic Sans MS"/>
                <w:b/>
                <w:sz w:val="20"/>
                <w:szCs w:val="20"/>
              </w:rPr>
              <w:t>CHOSEN STRATEGY</w:t>
            </w:r>
          </w:p>
        </w:tc>
        <w:tc>
          <w:tcPr>
            <w:tcW w:w="2092" w:type="dxa"/>
            <w:shd w:val="clear" w:color="auto" w:fill="0070C0"/>
          </w:tcPr>
          <w:p w:rsidR="00286A04" w:rsidRPr="00286A04" w:rsidRDefault="00286A04" w:rsidP="00286A0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6A04">
              <w:rPr>
                <w:rFonts w:ascii="Comic Sans MS" w:hAnsi="Comic Sans MS"/>
                <w:b/>
                <w:sz w:val="20"/>
                <w:szCs w:val="20"/>
              </w:rPr>
              <w:t>SUCCESS CRITERIA</w:t>
            </w:r>
          </w:p>
        </w:tc>
        <w:tc>
          <w:tcPr>
            <w:tcW w:w="1488" w:type="dxa"/>
            <w:shd w:val="clear" w:color="auto" w:fill="0070C0"/>
          </w:tcPr>
          <w:p w:rsidR="00286A04" w:rsidRPr="00286A04" w:rsidRDefault="00286A04" w:rsidP="00286A0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6A04">
              <w:rPr>
                <w:rFonts w:ascii="Comic Sans MS" w:hAnsi="Comic Sans MS"/>
                <w:b/>
                <w:sz w:val="20"/>
                <w:szCs w:val="20"/>
              </w:rPr>
              <w:t>HOW IMPACT WILL BE MEASURED</w:t>
            </w:r>
          </w:p>
        </w:tc>
        <w:tc>
          <w:tcPr>
            <w:tcW w:w="1978" w:type="dxa"/>
            <w:shd w:val="clear" w:color="auto" w:fill="0070C0"/>
          </w:tcPr>
          <w:p w:rsidR="00286A04" w:rsidRPr="00286A04" w:rsidRDefault="00286A04" w:rsidP="00286A0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6A04">
              <w:rPr>
                <w:rFonts w:ascii="Comic Sans MS" w:hAnsi="Comic Sans MS"/>
                <w:b/>
                <w:sz w:val="20"/>
                <w:szCs w:val="20"/>
              </w:rPr>
              <w:t>EVALUATION</w:t>
            </w:r>
          </w:p>
        </w:tc>
      </w:tr>
      <w:tr w:rsidR="00286A04" w:rsidTr="00286A04">
        <w:tc>
          <w:tcPr>
            <w:tcW w:w="1903" w:type="dxa"/>
          </w:tcPr>
          <w:p w:rsidR="00286A04" w:rsidRPr="00DE041F" w:rsidRDefault="00166E8D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</w:p>
        </w:tc>
        <w:tc>
          <w:tcPr>
            <w:tcW w:w="2136" w:type="dxa"/>
          </w:tcPr>
          <w:p w:rsidR="00286A04" w:rsidRPr="00DE041F" w:rsidRDefault="00166E8D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Lack of access to high quality texts. </w:t>
            </w:r>
          </w:p>
          <w:p w:rsidR="00166E8D" w:rsidRPr="00DE041F" w:rsidRDefault="00166E8D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Limited reading experiences. </w:t>
            </w:r>
          </w:p>
          <w:p w:rsidR="00166E8D" w:rsidRPr="00DE041F" w:rsidRDefault="00166E8D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Limited vocabulary.</w:t>
            </w:r>
          </w:p>
        </w:tc>
        <w:tc>
          <w:tcPr>
            <w:tcW w:w="2214" w:type="dxa"/>
          </w:tcPr>
          <w:p w:rsidR="00286A04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£1750 per annum based on the percentage of PP children. </w:t>
            </w:r>
          </w:p>
        </w:tc>
        <w:tc>
          <w:tcPr>
            <w:tcW w:w="2137" w:type="dxa"/>
          </w:tcPr>
          <w:p w:rsidR="004A342E" w:rsidRPr="00DE041F" w:rsidRDefault="004A342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Devon Schools Library Service Subscription to provide Topic Boxes and regular book swaps of new titles. </w:t>
            </w:r>
          </w:p>
          <w:p w:rsidR="004A342E" w:rsidRPr="00DE041F" w:rsidRDefault="004A342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Advice on “hot reads” and suggested reading lists for year groups.</w:t>
            </w:r>
          </w:p>
        </w:tc>
        <w:tc>
          <w:tcPr>
            <w:tcW w:w="2092" w:type="dxa"/>
          </w:tcPr>
          <w:p w:rsidR="00286A04" w:rsidRPr="00DE041F" w:rsidRDefault="004A342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Termly Topic Boxes for each class to provide high quality reading materials to support wider curriculum areas. </w:t>
            </w:r>
          </w:p>
          <w:p w:rsidR="004A342E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Accelerated Reader engaged time for PP readers. 90% of pupils above</w:t>
            </w:r>
          </w:p>
          <w:p w:rsidR="00881BD9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Y3 15 mins </w:t>
            </w:r>
            <w:proofErr w:type="spellStart"/>
            <w:r w:rsidRPr="00DE041F">
              <w:rPr>
                <w:rFonts w:ascii="Comic Sans MS" w:hAnsi="Comic Sans MS"/>
                <w:sz w:val="20"/>
                <w:szCs w:val="20"/>
              </w:rPr>
              <w:t>p.d</w:t>
            </w:r>
            <w:proofErr w:type="spellEnd"/>
            <w:r w:rsidRPr="00DE041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81BD9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Y4 20 mins </w:t>
            </w:r>
            <w:proofErr w:type="spellStart"/>
            <w:r w:rsidRPr="00DE041F">
              <w:rPr>
                <w:rFonts w:ascii="Comic Sans MS" w:hAnsi="Comic Sans MS"/>
                <w:sz w:val="20"/>
                <w:szCs w:val="20"/>
              </w:rPr>
              <w:t>p.d</w:t>
            </w:r>
            <w:proofErr w:type="spellEnd"/>
            <w:r w:rsidRPr="00DE041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81BD9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Y5 and 6 25 mins </w:t>
            </w:r>
            <w:proofErr w:type="spellStart"/>
            <w:r w:rsidRPr="00DE041F">
              <w:rPr>
                <w:rFonts w:ascii="Comic Sans MS" w:hAnsi="Comic Sans MS"/>
                <w:sz w:val="20"/>
                <w:szCs w:val="20"/>
              </w:rPr>
              <w:t>p.d</w:t>
            </w:r>
            <w:proofErr w:type="spellEnd"/>
            <w:r w:rsidRPr="00DE041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:rsidR="00881BD9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Half termly monitoring on AR. </w:t>
            </w:r>
          </w:p>
          <w:p w:rsidR="00881BD9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Mentoring of children who struggle to meet target.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565228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36" w:type="dxa"/>
          </w:tcPr>
          <w:p w:rsidR="00286A04" w:rsidRPr="00DE041F" w:rsidRDefault="00565228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Limited reading at home both independently and with an adult. </w:t>
            </w:r>
          </w:p>
        </w:tc>
        <w:tc>
          <w:tcPr>
            <w:tcW w:w="2214" w:type="dxa"/>
          </w:tcPr>
          <w:p w:rsidR="00286A04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£2000 per annum, Accelerated Reader subscription to support independent reading. </w:t>
            </w:r>
          </w:p>
        </w:tc>
        <w:tc>
          <w:tcPr>
            <w:tcW w:w="2137" w:type="dxa"/>
          </w:tcPr>
          <w:p w:rsidR="00286A04" w:rsidRPr="00DE041F" w:rsidRDefault="00881BD9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Accelerated Reader to monitor home reading and motivate children to read independently. </w:t>
            </w:r>
          </w:p>
        </w:tc>
        <w:tc>
          <w:tcPr>
            <w:tcW w:w="2092" w:type="dxa"/>
          </w:tcPr>
          <w:p w:rsidR="00881BD9" w:rsidRPr="00DE041F" w:rsidRDefault="00881BD9" w:rsidP="00881BD9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Accelerated Reader engaged time for PP readers. 90% of pupils above</w:t>
            </w:r>
          </w:p>
          <w:p w:rsidR="00881BD9" w:rsidRPr="00DE041F" w:rsidRDefault="00881BD9" w:rsidP="00881BD9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Y3 15 mins </w:t>
            </w:r>
            <w:proofErr w:type="spellStart"/>
            <w:r w:rsidRPr="00DE041F">
              <w:rPr>
                <w:rFonts w:ascii="Comic Sans MS" w:hAnsi="Comic Sans MS"/>
                <w:sz w:val="20"/>
                <w:szCs w:val="20"/>
              </w:rPr>
              <w:t>p.d</w:t>
            </w:r>
            <w:proofErr w:type="spellEnd"/>
            <w:r w:rsidRPr="00DE041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81BD9" w:rsidRPr="00DE041F" w:rsidRDefault="00881BD9" w:rsidP="00881BD9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Y4 20 mins </w:t>
            </w:r>
            <w:proofErr w:type="spellStart"/>
            <w:r w:rsidRPr="00DE041F">
              <w:rPr>
                <w:rFonts w:ascii="Comic Sans MS" w:hAnsi="Comic Sans MS"/>
                <w:sz w:val="20"/>
                <w:szCs w:val="20"/>
              </w:rPr>
              <w:t>p.d</w:t>
            </w:r>
            <w:proofErr w:type="spellEnd"/>
            <w:r w:rsidRPr="00DE041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86A04" w:rsidRPr="00DE041F" w:rsidRDefault="00881BD9" w:rsidP="00881BD9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Y5 and 6 25 mins </w:t>
            </w:r>
            <w:proofErr w:type="spellStart"/>
            <w:r w:rsidRPr="00DE041F">
              <w:rPr>
                <w:rFonts w:ascii="Comic Sans MS" w:hAnsi="Comic Sans MS"/>
                <w:sz w:val="20"/>
                <w:szCs w:val="20"/>
              </w:rPr>
              <w:t>p.d</w:t>
            </w:r>
            <w:proofErr w:type="spellEnd"/>
            <w:r w:rsidRPr="00DE041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:rsidR="00881BD9" w:rsidRPr="00DE041F" w:rsidRDefault="00881BD9" w:rsidP="00881BD9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Half termly monitoring on AR. </w:t>
            </w:r>
          </w:p>
          <w:p w:rsidR="00286A04" w:rsidRPr="00DE041F" w:rsidRDefault="00881BD9" w:rsidP="00881BD9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Mentoring of children who struggle to meet target.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EC22A2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36" w:type="dxa"/>
          </w:tcPr>
          <w:p w:rsidR="00286A04" w:rsidRPr="00DE041F" w:rsidRDefault="00EC22A2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Independent reading habits not well established. </w:t>
            </w:r>
          </w:p>
          <w:p w:rsidR="00E06F55" w:rsidRPr="00DE041F" w:rsidRDefault="00E06F55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Limited Vocabulary.</w:t>
            </w:r>
          </w:p>
        </w:tc>
        <w:tc>
          <w:tcPr>
            <w:tcW w:w="2214" w:type="dxa"/>
          </w:tcPr>
          <w:p w:rsidR="00286A04" w:rsidRPr="00DE041F" w:rsidRDefault="005C6354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1:1 and additional small group reading for those children who do not read regularly at home. </w:t>
            </w:r>
          </w:p>
          <w:p w:rsidR="005C6354" w:rsidRPr="00DE041F" w:rsidRDefault="005C6354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£12,000 contribution </w:t>
            </w: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TA budget line to provide this. </w:t>
            </w:r>
          </w:p>
        </w:tc>
        <w:tc>
          <w:tcPr>
            <w:tcW w:w="2137" w:type="dxa"/>
          </w:tcPr>
          <w:p w:rsidR="00286A04" w:rsidRPr="00DE041F" w:rsidRDefault="00043D9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 xml:space="preserve">Daily 1:1 or small group reading/phonics to support those children who are not reading regularly at </w:t>
            </w: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 xml:space="preserve">home across all years. </w:t>
            </w:r>
          </w:p>
        </w:tc>
        <w:tc>
          <w:tcPr>
            <w:tcW w:w="2092" w:type="dxa"/>
          </w:tcPr>
          <w:p w:rsidR="00286A04" w:rsidRPr="00DE041F" w:rsidRDefault="00043D9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 xml:space="preserve">All PP children with this additional reading support make at least expected progress with 75% making </w:t>
            </w: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 xml:space="preserve">better than expected progress. </w:t>
            </w:r>
          </w:p>
        </w:tc>
        <w:tc>
          <w:tcPr>
            <w:tcW w:w="1488" w:type="dxa"/>
          </w:tcPr>
          <w:p w:rsidR="00286A04" w:rsidRPr="00DE041F" w:rsidRDefault="00043D9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 xml:space="preserve">Impact measured by phase phonics assessments, book band </w:t>
            </w: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>progression, SALFORD reading age test and AR Star Reader Test Data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EC22A2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2136" w:type="dxa"/>
          </w:tcPr>
          <w:p w:rsidR="00286A04" w:rsidRPr="00DE041F" w:rsidRDefault="00E06F55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Lack of pre reading and limited exposure to reading at home. </w:t>
            </w:r>
          </w:p>
        </w:tc>
        <w:tc>
          <w:tcPr>
            <w:tcW w:w="2214" w:type="dxa"/>
          </w:tcPr>
          <w:p w:rsidR="00043D9E" w:rsidRPr="00DE041F" w:rsidRDefault="00043D9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£500 for story books to go home each week for parents to read with children. </w:t>
            </w:r>
          </w:p>
        </w:tc>
        <w:tc>
          <w:tcPr>
            <w:tcW w:w="2137" w:type="dxa"/>
          </w:tcPr>
          <w:p w:rsidR="00286A04" w:rsidRPr="00DE041F" w:rsidRDefault="00043D9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Weekly story book in KS1 for all pupils. Read 5 times to build language, story and sentence structure. </w:t>
            </w:r>
          </w:p>
        </w:tc>
        <w:tc>
          <w:tcPr>
            <w:tcW w:w="2092" w:type="dxa"/>
          </w:tcPr>
          <w:p w:rsidR="00286A04" w:rsidRPr="00DE041F" w:rsidRDefault="00043D9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Greater engagement and enjoyment of reading. </w:t>
            </w:r>
          </w:p>
        </w:tc>
        <w:tc>
          <w:tcPr>
            <w:tcW w:w="1488" w:type="dxa"/>
          </w:tcPr>
          <w:p w:rsidR="00286A04" w:rsidRPr="00DE041F" w:rsidRDefault="00043D9E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Children’s spoken language and ability to tell stories to improve. 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6F55" w:rsidTr="00286A04">
        <w:tc>
          <w:tcPr>
            <w:tcW w:w="1903" w:type="dxa"/>
          </w:tcPr>
          <w:p w:rsidR="00E06F55" w:rsidRPr="00DE041F" w:rsidRDefault="00E06F55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</w:p>
        </w:tc>
        <w:tc>
          <w:tcPr>
            <w:tcW w:w="2136" w:type="dxa"/>
          </w:tcPr>
          <w:p w:rsidR="00E06F55" w:rsidRPr="00DE041F" w:rsidRDefault="00E06F55" w:rsidP="00E06F55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Independent reading habits not well established. </w:t>
            </w:r>
          </w:p>
          <w:p w:rsidR="00E06F55" w:rsidRPr="00DE041F" w:rsidRDefault="00E06F55" w:rsidP="00E06F55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Limited Vocabulary.</w:t>
            </w:r>
          </w:p>
        </w:tc>
        <w:tc>
          <w:tcPr>
            <w:tcW w:w="2214" w:type="dxa"/>
          </w:tcPr>
          <w:p w:rsidR="00E06F55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£2500 for additional hours to cover cost of fortnight 30 minute TA training sessions – 2:45-3:15pm on phonics and early reading for KS1 staff. </w:t>
            </w:r>
          </w:p>
        </w:tc>
        <w:tc>
          <w:tcPr>
            <w:tcW w:w="2137" w:type="dxa"/>
          </w:tcPr>
          <w:p w:rsidR="00E06F55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CPD to support high quality TA led interventions (keep up and catch up) 1:1 and in small groups. </w:t>
            </w:r>
          </w:p>
        </w:tc>
        <w:tc>
          <w:tcPr>
            <w:tcW w:w="2092" w:type="dxa"/>
          </w:tcPr>
          <w:p w:rsidR="00E06F55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PP children make good progress in phonics and building early reading skills. </w:t>
            </w:r>
          </w:p>
        </w:tc>
        <w:tc>
          <w:tcPr>
            <w:tcW w:w="1488" w:type="dxa"/>
          </w:tcPr>
          <w:p w:rsidR="00E06F55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85% + of Year 1 pupils pass phonics screen. </w:t>
            </w:r>
          </w:p>
          <w:p w:rsidR="005D0B69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85%+ of year 2 pupils pass phonics screen</w:t>
            </w:r>
          </w:p>
          <w:p w:rsidR="005D0B69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90% of Reception pupils on track to pass phonics screen. </w:t>
            </w:r>
          </w:p>
        </w:tc>
        <w:tc>
          <w:tcPr>
            <w:tcW w:w="1978" w:type="dxa"/>
          </w:tcPr>
          <w:p w:rsidR="00E06F55" w:rsidRPr="00DE041F" w:rsidRDefault="00E06F55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E06F55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Vocabulary</w:t>
            </w:r>
          </w:p>
        </w:tc>
        <w:tc>
          <w:tcPr>
            <w:tcW w:w="2136" w:type="dxa"/>
          </w:tcPr>
          <w:p w:rsidR="00286A04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Limited vocabulary, especially more formal vocabulary, limiting understanding</w:t>
            </w:r>
          </w:p>
        </w:tc>
        <w:tc>
          <w:tcPr>
            <w:tcW w:w="2214" w:type="dxa"/>
          </w:tcPr>
          <w:p w:rsidR="00286A04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additional cost</w:t>
            </w:r>
          </w:p>
        </w:tc>
        <w:tc>
          <w:tcPr>
            <w:tcW w:w="2137" w:type="dxa"/>
          </w:tcPr>
          <w:p w:rsidR="00286A04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Weekly direct teaching of vocabulary based on structured programme across the school – “Know,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grow, show”</w:t>
            </w:r>
          </w:p>
        </w:tc>
        <w:tc>
          <w:tcPr>
            <w:tcW w:w="2092" w:type="dxa"/>
          </w:tcPr>
          <w:p w:rsidR="00286A04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Evidence of vocabulary taught being used in children’s productive vocabulary. </w:t>
            </w:r>
          </w:p>
        </w:tc>
        <w:tc>
          <w:tcPr>
            <w:tcW w:w="1488" w:type="dxa"/>
          </w:tcPr>
          <w:p w:rsidR="00286A04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Monitoring of learning shows pupils using taught vocabulary in their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productive language.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E06F55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>Speech and Language</w:t>
            </w:r>
            <w:r w:rsidR="00D562D9" w:rsidRPr="00DE041F">
              <w:rPr>
                <w:rFonts w:ascii="Comic Sans MS" w:hAnsi="Comic Sans MS"/>
                <w:sz w:val="20"/>
                <w:szCs w:val="20"/>
              </w:rPr>
              <w:t xml:space="preserve"> (KS1)</w:t>
            </w:r>
          </w:p>
        </w:tc>
        <w:tc>
          <w:tcPr>
            <w:tcW w:w="2136" w:type="dxa"/>
          </w:tcPr>
          <w:p w:rsidR="00286A04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Limited Vocabulary</w:t>
            </w:r>
          </w:p>
          <w:p w:rsidR="00047A7C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Communication and Understanding</w:t>
            </w:r>
          </w:p>
        </w:tc>
        <w:tc>
          <w:tcPr>
            <w:tcW w:w="2214" w:type="dxa"/>
          </w:tcPr>
          <w:p w:rsidR="00286A04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BOOST - £500</w:t>
            </w:r>
          </w:p>
          <w:p w:rsidR="005D0B69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0B69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Infant Speech and Language Link</w:t>
            </w:r>
          </w:p>
          <w:p w:rsidR="005D0B69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£250</w:t>
            </w:r>
          </w:p>
          <w:p w:rsidR="005D0B69" w:rsidRPr="00DE041F" w:rsidRDefault="005D0B69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7" w:type="dxa"/>
          </w:tcPr>
          <w:p w:rsidR="00286A04" w:rsidRPr="00DE041F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Two interventions run by TAs to support pupils with identified needs. All children to be screened on entry. </w:t>
            </w:r>
          </w:p>
        </w:tc>
        <w:tc>
          <w:tcPr>
            <w:tcW w:w="2092" w:type="dxa"/>
          </w:tcPr>
          <w:p w:rsidR="00286A04" w:rsidRPr="00DE041F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Weekly programme ongoing through the year to support pupil’s in developing their language skills. </w:t>
            </w:r>
          </w:p>
        </w:tc>
        <w:tc>
          <w:tcPr>
            <w:tcW w:w="1488" w:type="dxa"/>
          </w:tcPr>
          <w:p w:rsidR="00286A04" w:rsidRPr="00DE041F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Outcomes measured by programmes. All children to make at least expected progress. 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927" w:rsidTr="00286A04">
        <w:tc>
          <w:tcPr>
            <w:tcW w:w="1903" w:type="dxa"/>
          </w:tcPr>
          <w:p w:rsidR="00F21927" w:rsidRPr="00DE041F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Speech and Language (KS2)</w:t>
            </w:r>
          </w:p>
        </w:tc>
        <w:tc>
          <w:tcPr>
            <w:tcW w:w="2136" w:type="dxa"/>
          </w:tcPr>
          <w:p w:rsidR="00F21927" w:rsidRPr="00DE041F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Limited Vocabulary</w:t>
            </w:r>
          </w:p>
          <w:p w:rsidR="00F21927" w:rsidRPr="00DE041F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Communication and Understanding</w:t>
            </w:r>
          </w:p>
        </w:tc>
        <w:tc>
          <w:tcPr>
            <w:tcW w:w="2214" w:type="dxa"/>
          </w:tcPr>
          <w:p w:rsidR="00F21927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 Language Link</w:t>
            </w:r>
          </w:p>
          <w:p w:rsidR="00F21927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£250</w:t>
            </w:r>
          </w:p>
          <w:p w:rsidR="00F21927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 work with TA</w:t>
            </w:r>
          </w:p>
          <w:p w:rsidR="00F21927" w:rsidRPr="00DE041F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7" w:type="dxa"/>
          </w:tcPr>
          <w:p w:rsidR="00F21927" w:rsidRPr="00DE041F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 with identified pupils with additional needs to develop confidence and communication skills. </w:t>
            </w:r>
          </w:p>
        </w:tc>
        <w:tc>
          <w:tcPr>
            <w:tcW w:w="2092" w:type="dxa"/>
          </w:tcPr>
          <w:p w:rsidR="00F21927" w:rsidRPr="00DE041F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Weekly programme ongoing through the year to support pupil’s in developing their language skills. </w:t>
            </w:r>
          </w:p>
        </w:tc>
        <w:tc>
          <w:tcPr>
            <w:tcW w:w="1488" w:type="dxa"/>
          </w:tcPr>
          <w:p w:rsidR="00F21927" w:rsidRPr="00DE041F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Outcomes measured by programmes. All children to make at least expected progress. </w:t>
            </w:r>
          </w:p>
        </w:tc>
        <w:tc>
          <w:tcPr>
            <w:tcW w:w="1978" w:type="dxa"/>
          </w:tcPr>
          <w:p w:rsidR="00F21927" w:rsidRPr="00DE041F" w:rsidRDefault="00F21927" w:rsidP="00F219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6A7748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</w:tc>
        <w:tc>
          <w:tcPr>
            <w:tcW w:w="2136" w:type="dxa"/>
          </w:tcPr>
          <w:p w:rsidR="00286A04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Gaps in Understanding due to missed school</w:t>
            </w:r>
          </w:p>
        </w:tc>
        <w:tc>
          <w:tcPr>
            <w:tcW w:w="2214" w:type="dxa"/>
          </w:tcPr>
          <w:p w:rsidR="00286A04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Accelerated Maths for years 2-6</w:t>
            </w:r>
          </w:p>
          <w:p w:rsidR="00F21927" w:rsidRPr="00DE041F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£1500 per annum to provide diagnostic assessment information and follow up activities. </w:t>
            </w:r>
          </w:p>
        </w:tc>
        <w:tc>
          <w:tcPr>
            <w:tcW w:w="2137" w:type="dxa"/>
          </w:tcPr>
          <w:p w:rsidR="00F21927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STAR Maths tests and Accelerated Maths Activities to support and monitor progress of groups.</w:t>
            </w:r>
          </w:p>
          <w:p w:rsidR="00286A04" w:rsidRPr="00DE041F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Provides in class and home learning activities to support.  </w:t>
            </w:r>
          </w:p>
        </w:tc>
        <w:tc>
          <w:tcPr>
            <w:tcW w:w="2092" w:type="dxa"/>
          </w:tcPr>
          <w:p w:rsidR="00286A04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Half termly STAR Maths tests to monitor progress through percentile rank and NRSS. </w:t>
            </w:r>
          </w:p>
          <w:p w:rsidR="00F21927" w:rsidRPr="00DE041F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TAs to provide support for interventions based upon this. </w:t>
            </w:r>
          </w:p>
        </w:tc>
        <w:tc>
          <w:tcPr>
            <w:tcW w:w="1488" w:type="dxa"/>
          </w:tcPr>
          <w:p w:rsidR="00286A04" w:rsidRPr="00DE041F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90%+ of PP pupils to make better than expected progress in PR and NRSS. 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6A7748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136" w:type="dxa"/>
          </w:tcPr>
          <w:p w:rsidR="00286A04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Lack of sharpness with known facts</w:t>
            </w:r>
          </w:p>
        </w:tc>
        <w:tc>
          <w:tcPr>
            <w:tcW w:w="2214" w:type="dxa"/>
          </w:tcPr>
          <w:p w:rsidR="00286A04" w:rsidRDefault="00F2192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subscription</w:t>
            </w:r>
          </w:p>
          <w:p w:rsidR="00413BC7" w:rsidRPr="00DE041F" w:rsidRDefault="00413BC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£150</w:t>
            </w:r>
          </w:p>
        </w:tc>
        <w:tc>
          <w:tcPr>
            <w:tcW w:w="2137" w:type="dxa"/>
          </w:tcPr>
          <w:p w:rsidR="00286A04" w:rsidRPr="00DE041F" w:rsidRDefault="00413BC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Years 2-6 to support learning of times tables facts. </w:t>
            </w:r>
          </w:p>
        </w:tc>
        <w:tc>
          <w:tcPr>
            <w:tcW w:w="2092" w:type="dxa"/>
          </w:tcPr>
          <w:p w:rsidR="00286A04" w:rsidRPr="00DE041F" w:rsidRDefault="00413BC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Monitor of progress through in class tests. </w:t>
            </w:r>
          </w:p>
        </w:tc>
        <w:tc>
          <w:tcPr>
            <w:tcW w:w="1488" w:type="dxa"/>
          </w:tcPr>
          <w:p w:rsidR="00286A04" w:rsidRPr="00DE041F" w:rsidRDefault="00413BC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pupils to acquire X table and associated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facts. 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6A7748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2136" w:type="dxa"/>
          </w:tcPr>
          <w:p w:rsidR="00286A04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Widened gap in attainment due to more limited support during home schooling. </w:t>
            </w:r>
          </w:p>
        </w:tc>
        <w:tc>
          <w:tcPr>
            <w:tcW w:w="2214" w:type="dxa"/>
          </w:tcPr>
          <w:p w:rsidR="00286A04" w:rsidRDefault="00413BC7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and small group pre and post teaching by class teacher and TA to ensure gaps and misconceptions are addressed – all years. </w:t>
            </w:r>
          </w:p>
          <w:p w:rsidR="00952D08" w:rsidRDefault="00952D08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6 – 1 day of additional support for maths in small groups from teacher. </w:t>
            </w:r>
          </w:p>
          <w:p w:rsidR="00952D08" w:rsidRPr="00DE041F" w:rsidRDefault="00952D08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£12,000 contribution to staffing budget to cover proportion of PP children.</w:t>
            </w:r>
          </w:p>
        </w:tc>
        <w:tc>
          <w:tcPr>
            <w:tcW w:w="2137" w:type="dxa"/>
          </w:tcPr>
          <w:p w:rsidR="00286A04" w:rsidRPr="00DE041F" w:rsidRDefault="00952D08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year groups have dedicated time when TA can provide support for this. </w:t>
            </w:r>
          </w:p>
        </w:tc>
        <w:tc>
          <w:tcPr>
            <w:tcW w:w="2092" w:type="dxa"/>
          </w:tcPr>
          <w:p w:rsidR="00286A04" w:rsidRPr="00DE041F" w:rsidRDefault="00952D08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Monitoring of assessment data using PP and intervention tracking data. </w:t>
            </w:r>
          </w:p>
        </w:tc>
        <w:tc>
          <w:tcPr>
            <w:tcW w:w="1488" w:type="dxa"/>
          </w:tcPr>
          <w:p w:rsidR="00286A04" w:rsidRPr="00DE041F" w:rsidRDefault="00952D08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PP and Intervention tracking shows pupils make better than expected progress and gaps narrow. 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6A7748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Year 2 Focus</w:t>
            </w:r>
          </w:p>
        </w:tc>
        <w:tc>
          <w:tcPr>
            <w:tcW w:w="2136" w:type="dxa"/>
          </w:tcPr>
          <w:p w:rsidR="00286A04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Key aspects of learning missed at key developmental points due to </w:t>
            </w:r>
            <w:proofErr w:type="spellStart"/>
            <w:r w:rsidRPr="00DE041F">
              <w:rPr>
                <w:rFonts w:ascii="Comic Sans MS" w:hAnsi="Comic Sans MS"/>
                <w:sz w:val="20"/>
                <w:szCs w:val="20"/>
              </w:rPr>
              <w:t>Covid</w:t>
            </w:r>
            <w:proofErr w:type="spellEnd"/>
            <w:r w:rsidRPr="00DE041F">
              <w:rPr>
                <w:rFonts w:ascii="Comic Sans MS" w:hAnsi="Comic Sans MS"/>
                <w:sz w:val="20"/>
                <w:szCs w:val="20"/>
              </w:rPr>
              <w:t xml:space="preserve"> 19</w:t>
            </w:r>
          </w:p>
        </w:tc>
        <w:tc>
          <w:tcPr>
            <w:tcW w:w="2214" w:type="dxa"/>
          </w:tcPr>
          <w:p w:rsidR="00286A04" w:rsidRDefault="00B41D5F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0.6 HLTA in the class to enable pre-post teaching, small group and individual interventions. </w:t>
            </w:r>
          </w:p>
          <w:p w:rsidR="00B41D5F" w:rsidRPr="00DE041F" w:rsidRDefault="00B41D5F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0.6 HLTA salary</w:t>
            </w:r>
          </w:p>
        </w:tc>
        <w:tc>
          <w:tcPr>
            <w:tcW w:w="2137" w:type="dxa"/>
          </w:tcPr>
          <w:p w:rsidR="00286A04" w:rsidRPr="00DE041F" w:rsidRDefault="00237C02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Specialist HLTA support for phonics and reading for all pupils working below expectations and to support narrowing of learning gaps. </w:t>
            </w:r>
          </w:p>
        </w:tc>
        <w:tc>
          <w:tcPr>
            <w:tcW w:w="2092" w:type="dxa"/>
          </w:tcPr>
          <w:p w:rsidR="00286A04" w:rsidRDefault="00181EF6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75%+ of children pass phonics screen in November</w:t>
            </w:r>
          </w:p>
          <w:p w:rsidR="00181EF6" w:rsidRPr="00DE041F" w:rsidRDefault="00181EF6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90%+ pass in June resit.</w:t>
            </w:r>
          </w:p>
        </w:tc>
        <w:tc>
          <w:tcPr>
            <w:tcW w:w="1488" w:type="dxa"/>
          </w:tcPr>
          <w:p w:rsidR="00286A04" w:rsidRDefault="00181EF6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Fortnightly phonics tracking for target children.</w:t>
            </w:r>
          </w:p>
          <w:p w:rsidR="00181EF6" w:rsidRPr="00DE041F" w:rsidRDefault="00181EF6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termly PSC.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6A7748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Year 3 Focus</w:t>
            </w:r>
          </w:p>
        </w:tc>
        <w:tc>
          <w:tcPr>
            <w:tcW w:w="2136" w:type="dxa"/>
          </w:tcPr>
          <w:p w:rsidR="00286A04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 xml:space="preserve">Key aspects of learning missed at key developmental points due to </w:t>
            </w:r>
            <w:proofErr w:type="spellStart"/>
            <w:r w:rsidRPr="00DE041F">
              <w:rPr>
                <w:rFonts w:ascii="Comic Sans MS" w:hAnsi="Comic Sans MS"/>
                <w:sz w:val="20"/>
                <w:szCs w:val="20"/>
              </w:rPr>
              <w:t>Covid</w:t>
            </w:r>
            <w:proofErr w:type="spellEnd"/>
            <w:r w:rsidRPr="00DE041F">
              <w:rPr>
                <w:rFonts w:ascii="Comic Sans MS" w:hAnsi="Comic Sans MS"/>
                <w:sz w:val="20"/>
                <w:szCs w:val="20"/>
              </w:rPr>
              <w:t xml:space="preserve"> 19</w:t>
            </w:r>
          </w:p>
        </w:tc>
        <w:tc>
          <w:tcPr>
            <w:tcW w:w="2214" w:type="dxa"/>
          </w:tcPr>
          <w:p w:rsidR="00286A04" w:rsidRDefault="00B41D5F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 split into two smaller classes both led by teachers to support catch-up. </w:t>
            </w:r>
          </w:p>
          <w:p w:rsidR="00237C02" w:rsidRPr="00DE041F" w:rsidRDefault="00237C02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0.3 teacher salary to reflect proportion of PP pupils in the class. </w:t>
            </w:r>
          </w:p>
        </w:tc>
        <w:tc>
          <w:tcPr>
            <w:tcW w:w="2137" w:type="dxa"/>
          </w:tcPr>
          <w:p w:rsidR="00286A04" w:rsidRPr="00DE041F" w:rsidRDefault="007A7C8A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Smaller class sizes to support learning. </w:t>
            </w:r>
          </w:p>
        </w:tc>
        <w:tc>
          <w:tcPr>
            <w:tcW w:w="2092" w:type="dxa"/>
          </w:tcPr>
          <w:p w:rsidR="00286A04" w:rsidRDefault="00181EF6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Baseline Data for September 2020</w:t>
            </w:r>
          </w:p>
          <w:p w:rsidR="00181EF6" w:rsidRPr="00DE041F" w:rsidRDefault="00181EF6" w:rsidP="00181E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children to make expected progress from start points and 75% to make better than expected in R, W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and M. </w:t>
            </w:r>
          </w:p>
        </w:tc>
        <w:tc>
          <w:tcPr>
            <w:tcW w:w="1488" w:type="dxa"/>
          </w:tcPr>
          <w:p w:rsidR="00286A04" w:rsidRPr="00DE041F" w:rsidRDefault="00181EF6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Half Termly Pupil Progress Meetings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6A04" w:rsidTr="00286A04">
        <w:tc>
          <w:tcPr>
            <w:tcW w:w="1903" w:type="dxa"/>
          </w:tcPr>
          <w:p w:rsidR="00286A04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>Pastoral Support</w:t>
            </w:r>
          </w:p>
        </w:tc>
        <w:tc>
          <w:tcPr>
            <w:tcW w:w="2136" w:type="dxa"/>
          </w:tcPr>
          <w:p w:rsidR="00286A04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Lack of confidence, emotional resilience</w:t>
            </w:r>
          </w:p>
        </w:tc>
        <w:tc>
          <w:tcPr>
            <w:tcW w:w="2214" w:type="dxa"/>
          </w:tcPr>
          <w:p w:rsidR="00286A04" w:rsidRDefault="008F77C8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Attachment Based Mentoring</w:t>
            </w:r>
          </w:p>
          <w:p w:rsidR="0071081E" w:rsidRDefault="0071081E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ELSA interventions</w:t>
            </w:r>
          </w:p>
          <w:p w:rsidR="008F77C8" w:rsidRPr="00DE041F" w:rsidRDefault="008F77C8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Pastoral Support by Key Adults. </w:t>
            </w:r>
          </w:p>
        </w:tc>
        <w:tc>
          <w:tcPr>
            <w:tcW w:w="2137" w:type="dxa"/>
          </w:tcPr>
          <w:p w:rsidR="00286A04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Small group and 1:1 pastoral support for pupils</w:t>
            </w:r>
          </w:p>
        </w:tc>
        <w:tc>
          <w:tcPr>
            <w:tcW w:w="2092" w:type="dxa"/>
          </w:tcPr>
          <w:p w:rsidR="00286A04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show increasing confidence in themselves and resilience in learning. </w:t>
            </w:r>
          </w:p>
        </w:tc>
        <w:tc>
          <w:tcPr>
            <w:tcW w:w="1488" w:type="dxa"/>
          </w:tcPr>
          <w:p w:rsidR="00286A04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dialogues</w:t>
            </w:r>
          </w:p>
        </w:tc>
        <w:tc>
          <w:tcPr>
            <w:tcW w:w="1978" w:type="dxa"/>
          </w:tcPr>
          <w:p w:rsidR="00286A04" w:rsidRPr="00DE041F" w:rsidRDefault="00286A04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438D" w:rsidTr="00286A04">
        <w:tc>
          <w:tcPr>
            <w:tcW w:w="1903" w:type="dxa"/>
          </w:tcPr>
          <w:p w:rsidR="0008438D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Pastoral Support</w:t>
            </w:r>
          </w:p>
        </w:tc>
        <w:tc>
          <w:tcPr>
            <w:tcW w:w="2136" w:type="dxa"/>
          </w:tcPr>
          <w:p w:rsidR="0008438D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Lack of positive learning behaviours</w:t>
            </w:r>
          </w:p>
        </w:tc>
        <w:tc>
          <w:tcPr>
            <w:tcW w:w="2214" w:type="dxa"/>
          </w:tcPr>
          <w:p w:rsidR="0008438D" w:rsidRPr="00DE041F" w:rsidRDefault="00E900A4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class support to support learning behaviours</w:t>
            </w:r>
          </w:p>
        </w:tc>
        <w:tc>
          <w:tcPr>
            <w:tcW w:w="2137" w:type="dxa"/>
          </w:tcPr>
          <w:p w:rsidR="0008438D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Small group and 1:1 pastoral support for pupils</w:t>
            </w:r>
          </w:p>
        </w:tc>
        <w:tc>
          <w:tcPr>
            <w:tcW w:w="2092" w:type="dxa"/>
          </w:tcPr>
          <w:p w:rsidR="0008438D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Improved learning behaviours leading to better academic outcomes. </w:t>
            </w:r>
          </w:p>
        </w:tc>
        <w:tc>
          <w:tcPr>
            <w:tcW w:w="1488" w:type="dxa"/>
          </w:tcPr>
          <w:p w:rsidR="0008438D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dialogues</w:t>
            </w:r>
          </w:p>
          <w:p w:rsidR="00370210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</w:t>
            </w:r>
          </w:p>
        </w:tc>
        <w:tc>
          <w:tcPr>
            <w:tcW w:w="1978" w:type="dxa"/>
          </w:tcPr>
          <w:p w:rsidR="0008438D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438D" w:rsidTr="00286A04">
        <w:tc>
          <w:tcPr>
            <w:tcW w:w="1903" w:type="dxa"/>
          </w:tcPr>
          <w:p w:rsidR="0008438D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Raising Aspirations</w:t>
            </w:r>
          </w:p>
        </w:tc>
        <w:tc>
          <w:tcPr>
            <w:tcW w:w="2136" w:type="dxa"/>
          </w:tcPr>
          <w:p w:rsidR="0008438D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Lack of opportunity and “cultural capital”</w:t>
            </w:r>
          </w:p>
        </w:tc>
        <w:tc>
          <w:tcPr>
            <w:tcW w:w="2214" w:type="dxa"/>
          </w:tcPr>
          <w:p w:rsidR="0008438D" w:rsidRDefault="00E900A4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Trips and Experiences to broaden “Cultural Capital”</w:t>
            </w:r>
          </w:p>
          <w:p w:rsidR="00E900A4" w:rsidRPr="00DE041F" w:rsidRDefault="00E900A4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£4000 to contribute towards costs to minimise cost to parents. </w:t>
            </w:r>
          </w:p>
        </w:tc>
        <w:tc>
          <w:tcPr>
            <w:tcW w:w="2137" w:type="dxa"/>
          </w:tcPr>
          <w:p w:rsidR="0008438D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Each class to have at least one trip to enhance the curriculum and develop “cultural capital”. </w:t>
            </w:r>
          </w:p>
        </w:tc>
        <w:tc>
          <w:tcPr>
            <w:tcW w:w="2092" w:type="dxa"/>
          </w:tcPr>
          <w:p w:rsidR="0008438D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develop understanding of locality, develop experiences and broaden experiences. </w:t>
            </w:r>
          </w:p>
        </w:tc>
        <w:tc>
          <w:tcPr>
            <w:tcW w:w="1488" w:type="dxa"/>
          </w:tcPr>
          <w:p w:rsidR="00370210" w:rsidRDefault="00370210" w:rsidP="003702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dialogues</w:t>
            </w:r>
          </w:p>
          <w:p w:rsidR="0008438D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438D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438D" w:rsidTr="00286A04">
        <w:tc>
          <w:tcPr>
            <w:tcW w:w="1903" w:type="dxa"/>
          </w:tcPr>
          <w:p w:rsidR="0008438D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Raising Aspirations</w:t>
            </w:r>
          </w:p>
        </w:tc>
        <w:tc>
          <w:tcPr>
            <w:tcW w:w="2136" w:type="dxa"/>
          </w:tcPr>
          <w:p w:rsidR="0008438D" w:rsidRPr="00DE041F" w:rsidRDefault="00047A7C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Limited life experiences</w:t>
            </w:r>
          </w:p>
        </w:tc>
        <w:tc>
          <w:tcPr>
            <w:tcW w:w="2214" w:type="dxa"/>
          </w:tcPr>
          <w:p w:rsidR="00E900A4" w:rsidRDefault="00E900A4" w:rsidP="00E900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Trips and Experiences to develop life skills, e.g.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residentials</w:t>
            </w:r>
            <w:proofErr w:type="spellEnd"/>
          </w:p>
          <w:p w:rsidR="0008438D" w:rsidRPr="00DE041F" w:rsidRDefault="00E900A4" w:rsidP="00E900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£1000 to contribute towards costs to minimise cost to parents.</w:t>
            </w:r>
          </w:p>
        </w:tc>
        <w:tc>
          <w:tcPr>
            <w:tcW w:w="2137" w:type="dxa"/>
          </w:tcPr>
          <w:p w:rsidR="0008438D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 child to miss out on trip or opportunity due to finance. </w:t>
            </w:r>
          </w:p>
        </w:tc>
        <w:tc>
          <w:tcPr>
            <w:tcW w:w="2092" w:type="dxa"/>
          </w:tcPr>
          <w:p w:rsidR="0008438D" w:rsidRPr="00DE041F" w:rsidRDefault="00EE751C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Broad range of experiences offered.</w:t>
            </w:r>
          </w:p>
        </w:tc>
        <w:tc>
          <w:tcPr>
            <w:tcW w:w="1488" w:type="dxa"/>
          </w:tcPr>
          <w:p w:rsidR="0008438D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8" w:type="dxa"/>
          </w:tcPr>
          <w:p w:rsidR="0008438D" w:rsidRPr="00DE041F" w:rsidRDefault="0008438D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5297" w:rsidTr="00286A04">
        <w:tc>
          <w:tcPr>
            <w:tcW w:w="1903" w:type="dxa"/>
          </w:tcPr>
          <w:p w:rsidR="00075297" w:rsidRPr="00DE041F" w:rsidRDefault="00075297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Home Learning Support</w:t>
            </w:r>
          </w:p>
        </w:tc>
        <w:tc>
          <w:tcPr>
            <w:tcW w:w="2136" w:type="dxa"/>
          </w:tcPr>
          <w:p w:rsidR="00075297" w:rsidRPr="00DE041F" w:rsidRDefault="00075297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t>Lack of resources to support home learning</w:t>
            </w:r>
          </w:p>
        </w:tc>
        <w:tc>
          <w:tcPr>
            <w:tcW w:w="2214" w:type="dxa"/>
          </w:tcPr>
          <w:p w:rsidR="00075297" w:rsidRDefault="00BD58BE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CGP books to provide pupils with quality home learning resources</w:t>
            </w:r>
          </w:p>
          <w:p w:rsidR="00BD58BE" w:rsidRPr="00DE041F" w:rsidRDefault="00BD58BE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£1000 cost. </w:t>
            </w:r>
          </w:p>
        </w:tc>
        <w:tc>
          <w:tcPr>
            <w:tcW w:w="2137" w:type="dxa"/>
          </w:tcPr>
          <w:p w:rsidR="00075297" w:rsidRPr="00DE041F" w:rsidRDefault="00370210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children to have suitable home learning materials to support their learning. </w:t>
            </w:r>
          </w:p>
        </w:tc>
        <w:tc>
          <w:tcPr>
            <w:tcW w:w="2092" w:type="dxa"/>
          </w:tcPr>
          <w:p w:rsidR="00075297" w:rsidRPr="00DE041F" w:rsidRDefault="00EE751C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pupils to develop good home learning habits. </w:t>
            </w:r>
          </w:p>
        </w:tc>
        <w:tc>
          <w:tcPr>
            <w:tcW w:w="1488" w:type="dxa"/>
          </w:tcPr>
          <w:p w:rsidR="00075297" w:rsidRPr="00DE041F" w:rsidRDefault="00EE751C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dialogues and homework records</w:t>
            </w:r>
          </w:p>
        </w:tc>
        <w:tc>
          <w:tcPr>
            <w:tcW w:w="1978" w:type="dxa"/>
          </w:tcPr>
          <w:p w:rsidR="00075297" w:rsidRPr="00DE041F" w:rsidRDefault="00075297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05B3" w:rsidTr="00286A04">
        <w:tc>
          <w:tcPr>
            <w:tcW w:w="1903" w:type="dxa"/>
          </w:tcPr>
          <w:p w:rsidR="00FB05B3" w:rsidRPr="00DE041F" w:rsidRDefault="00FB05B3" w:rsidP="00286A04">
            <w:pPr>
              <w:rPr>
                <w:rFonts w:ascii="Comic Sans MS" w:hAnsi="Comic Sans MS"/>
                <w:sz w:val="20"/>
                <w:szCs w:val="20"/>
              </w:rPr>
            </w:pPr>
            <w:r w:rsidRPr="00DE041F">
              <w:rPr>
                <w:rFonts w:ascii="Comic Sans MS" w:hAnsi="Comic Sans MS"/>
                <w:sz w:val="20"/>
                <w:szCs w:val="20"/>
              </w:rPr>
              <w:lastRenderedPageBreak/>
              <w:t>Leadership</w:t>
            </w:r>
          </w:p>
        </w:tc>
        <w:tc>
          <w:tcPr>
            <w:tcW w:w="2136" w:type="dxa"/>
          </w:tcPr>
          <w:p w:rsidR="00FB05B3" w:rsidRPr="00DE041F" w:rsidRDefault="00FB05B3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FB05B3" w:rsidRDefault="00E900A4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Monitoring of standards and actions for vulnerable pupils. </w:t>
            </w:r>
          </w:p>
          <w:p w:rsidR="00E900A4" w:rsidRDefault="00E900A4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New role of Inclusion Lead. </w:t>
            </w:r>
          </w:p>
          <w:p w:rsidR="00BD58BE" w:rsidRPr="00DE041F" w:rsidRDefault="00BD58BE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day per week leadership time to monitor.</w:t>
            </w:r>
          </w:p>
        </w:tc>
        <w:tc>
          <w:tcPr>
            <w:tcW w:w="2137" w:type="dxa"/>
          </w:tcPr>
          <w:p w:rsidR="00FB05B3" w:rsidRPr="00DE041F" w:rsidRDefault="00EE751C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Vulnerable pupils to be at the top of the agenda and constant focus. </w:t>
            </w:r>
          </w:p>
        </w:tc>
        <w:tc>
          <w:tcPr>
            <w:tcW w:w="2092" w:type="dxa"/>
          </w:tcPr>
          <w:p w:rsidR="00FB05B3" w:rsidRPr="00DE041F" w:rsidRDefault="00EE751C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Outcomes for vulnerable pupils show improvement and gaps to national narrow. </w:t>
            </w:r>
          </w:p>
        </w:tc>
        <w:tc>
          <w:tcPr>
            <w:tcW w:w="1488" w:type="dxa"/>
          </w:tcPr>
          <w:p w:rsidR="00FB05B3" w:rsidRPr="00DE041F" w:rsidRDefault="00EE751C" w:rsidP="00286A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National data points. </w:t>
            </w:r>
          </w:p>
        </w:tc>
        <w:tc>
          <w:tcPr>
            <w:tcW w:w="1978" w:type="dxa"/>
          </w:tcPr>
          <w:p w:rsidR="00FB05B3" w:rsidRPr="00DE041F" w:rsidRDefault="00FB05B3" w:rsidP="00286A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86A04" w:rsidRPr="000B5CAD" w:rsidRDefault="00286A04" w:rsidP="00286A04">
      <w:pPr>
        <w:rPr>
          <w:rFonts w:ascii="Comic Sans MS" w:hAnsi="Comic Sans MS"/>
          <w:sz w:val="24"/>
          <w:szCs w:val="24"/>
        </w:rPr>
      </w:pPr>
    </w:p>
    <w:sectPr w:rsidR="00286A04" w:rsidRPr="000B5CAD" w:rsidSect="000B5C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D08"/>
    <w:multiLevelType w:val="hybridMultilevel"/>
    <w:tmpl w:val="1B3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AD"/>
    <w:rsid w:val="00043D9E"/>
    <w:rsid w:val="00047A7C"/>
    <w:rsid w:val="0005364D"/>
    <w:rsid w:val="00075297"/>
    <w:rsid w:val="0008438D"/>
    <w:rsid w:val="000B5CAD"/>
    <w:rsid w:val="000C1D86"/>
    <w:rsid w:val="00166E8D"/>
    <w:rsid w:val="00181EF6"/>
    <w:rsid w:val="00237C02"/>
    <w:rsid w:val="00281919"/>
    <w:rsid w:val="00286A04"/>
    <w:rsid w:val="00370210"/>
    <w:rsid w:val="00413BC7"/>
    <w:rsid w:val="004A342E"/>
    <w:rsid w:val="00565228"/>
    <w:rsid w:val="005C6354"/>
    <w:rsid w:val="005D0B69"/>
    <w:rsid w:val="006A7748"/>
    <w:rsid w:val="00703D6F"/>
    <w:rsid w:val="0071081E"/>
    <w:rsid w:val="007A7C8A"/>
    <w:rsid w:val="00842E23"/>
    <w:rsid w:val="00881BD9"/>
    <w:rsid w:val="008F77C8"/>
    <w:rsid w:val="00952D08"/>
    <w:rsid w:val="00B14CB6"/>
    <w:rsid w:val="00B41D5F"/>
    <w:rsid w:val="00BD58BE"/>
    <w:rsid w:val="00C87D0D"/>
    <w:rsid w:val="00D562D9"/>
    <w:rsid w:val="00DE041F"/>
    <w:rsid w:val="00E06F55"/>
    <w:rsid w:val="00E2482E"/>
    <w:rsid w:val="00E900A4"/>
    <w:rsid w:val="00EC22A2"/>
    <w:rsid w:val="00EE751C"/>
    <w:rsid w:val="00EF04F4"/>
    <w:rsid w:val="00F21927"/>
    <w:rsid w:val="00F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D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2005</Words>
  <Characters>11430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Praestantia Technology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 ODonnell</dc:creator>
  <cp:lastModifiedBy>Charlotte Parker</cp:lastModifiedBy>
  <cp:revision>2</cp:revision>
  <dcterms:created xsi:type="dcterms:W3CDTF">2020-11-11T14:12:00Z</dcterms:created>
  <dcterms:modified xsi:type="dcterms:W3CDTF">2020-11-11T14:12:00Z</dcterms:modified>
</cp:coreProperties>
</file>